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047" w:rsidRDefault="006B2047" w:rsidP="00062EDA">
      <w:pPr>
        <w:pStyle w:val="Heading1"/>
        <w:jc w:val="center"/>
        <w:rPr>
          <w:rFonts w:asciiTheme="minorHAnsi" w:hAnsiTheme="minorHAnsi" w:cstheme="minorHAnsi"/>
          <w:b/>
          <w:color w:val="000000" w:themeColor="text1"/>
          <w:szCs w:val="24"/>
          <w:u w:val="single"/>
          <w:lang w:val="en-AU"/>
        </w:rPr>
      </w:pPr>
      <w:bookmarkStart w:id="0" w:name="_GoBack"/>
      <w:bookmarkEnd w:id="0"/>
      <w:r w:rsidRPr="006B2047">
        <w:rPr>
          <w:rFonts w:asciiTheme="minorHAnsi" w:hAnsiTheme="minorHAnsi" w:cstheme="minorHAnsi"/>
          <w:b/>
          <w:noProof/>
          <w:color w:val="000000" w:themeColor="text1"/>
          <w:szCs w:val="24"/>
          <w:lang w:val="en-AU" w:eastAsia="zh-TW"/>
        </w:rPr>
        <w:drawing>
          <wp:inline distT="0" distB="0" distL="0" distR="0" wp14:anchorId="5B827928" wp14:editId="6AAB8BBD">
            <wp:extent cx="6235700" cy="701675"/>
            <wp:effectExtent l="0" t="0" r="0" b="3175"/>
            <wp:docPr id="1" name="Picture 1" descr="C:\Users\pmacdonald\Desktop\QHTA\webinar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donald\Desktop\QHTA\webinars\bann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39737" cy="702129"/>
                    </a:xfrm>
                    <a:prstGeom prst="rect">
                      <a:avLst/>
                    </a:prstGeom>
                    <a:noFill/>
                    <a:ln>
                      <a:noFill/>
                    </a:ln>
                  </pic:spPr>
                </pic:pic>
              </a:graphicData>
            </a:graphic>
          </wp:inline>
        </w:drawing>
      </w:r>
    </w:p>
    <w:p w:rsidR="00A367FA" w:rsidRDefault="00062EDA" w:rsidP="000E667D">
      <w:pPr>
        <w:pStyle w:val="Heading1"/>
        <w:jc w:val="center"/>
        <w:rPr>
          <w:rFonts w:asciiTheme="minorHAnsi" w:hAnsiTheme="minorHAnsi" w:cstheme="minorHAnsi"/>
          <w:b/>
          <w:color w:val="000000" w:themeColor="text1"/>
          <w:szCs w:val="24"/>
          <w:u w:val="single"/>
          <w:lang w:val="en-AU"/>
        </w:rPr>
      </w:pPr>
      <w:r w:rsidRPr="00062EDA">
        <w:rPr>
          <w:rFonts w:asciiTheme="minorHAnsi" w:hAnsiTheme="minorHAnsi" w:cstheme="minorHAnsi"/>
          <w:b/>
          <w:color w:val="000000" w:themeColor="text1"/>
          <w:szCs w:val="24"/>
          <w:u w:val="single"/>
          <w:lang w:val="en-AU"/>
        </w:rPr>
        <w:t xml:space="preserve">QHTA </w:t>
      </w:r>
      <w:r w:rsidR="00397E11">
        <w:rPr>
          <w:rFonts w:asciiTheme="minorHAnsi" w:hAnsiTheme="minorHAnsi" w:cstheme="minorHAnsi"/>
          <w:b/>
          <w:color w:val="000000" w:themeColor="text1"/>
          <w:szCs w:val="24"/>
          <w:u w:val="single"/>
          <w:lang w:val="en-AU"/>
        </w:rPr>
        <w:t>August/September</w:t>
      </w:r>
      <w:r w:rsidR="002D1E73">
        <w:rPr>
          <w:rFonts w:asciiTheme="minorHAnsi" w:hAnsiTheme="minorHAnsi" w:cstheme="minorHAnsi"/>
          <w:b/>
          <w:color w:val="000000" w:themeColor="text1"/>
          <w:szCs w:val="24"/>
          <w:u w:val="single"/>
          <w:lang w:val="en-AU"/>
        </w:rPr>
        <w:t xml:space="preserve"> </w:t>
      </w:r>
      <w:r w:rsidRPr="00062EDA">
        <w:rPr>
          <w:rFonts w:asciiTheme="minorHAnsi" w:hAnsiTheme="minorHAnsi" w:cstheme="minorHAnsi"/>
          <w:b/>
          <w:color w:val="000000" w:themeColor="text1"/>
          <w:szCs w:val="24"/>
          <w:u w:val="single"/>
          <w:lang w:val="en-AU"/>
        </w:rPr>
        <w:t>Webinar Program</w:t>
      </w:r>
    </w:p>
    <w:p w:rsidR="00C66A2E" w:rsidRPr="00C66A2E" w:rsidRDefault="00C66A2E" w:rsidP="00C66A2E">
      <w:pPr>
        <w:spacing w:after="0" w:line="240" w:lineRule="auto"/>
        <w:rPr>
          <w:rFonts w:cstheme="minorHAnsi"/>
          <w:sz w:val="28"/>
          <w:szCs w:val="28"/>
          <w:lang w:val="en-AU"/>
        </w:rPr>
      </w:pPr>
      <w:r w:rsidRPr="00C66A2E">
        <w:rPr>
          <w:rFonts w:cstheme="minorHAnsi"/>
          <w:b/>
          <w:color w:val="0070C0"/>
          <w:sz w:val="28"/>
          <w:szCs w:val="28"/>
        </w:rPr>
        <w:t xml:space="preserve">History Essentials </w:t>
      </w:r>
      <w:r>
        <w:rPr>
          <w:rFonts w:cstheme="minorHAnsi"/>
          <w:b/>
          <w:color w:val="0070C0"/>
          <w:sz w:val="28"/>
          <w:szCs w:val="28"/>
        </w:rPr>
        <w:t>for Teachers</w:t>
      </w:r>
      <w:r w:rsidRPr="00C66A2E">
        <w:rPr>
          <w:rFonts w:cstheme="minorHAnsi"/>
          <w:sz w:val="28"/>
          <w:szCs w:val="28"/>
          <w:lang w:val="en-AU"/>
        </w:rPr>
        <w:t xml:space="preserve"> </w:t>
      </w:r>
    </w:p>
    <w:p w:rsidR="00062EDA" w:rsidRDefault="00C66A2E" w:rsidP="00C66A2E">
      <w:pPr>
        <w:spacing w:after="0" w:line="240" w:lineRule="auto"/>
        <w:rPr>
          <w:rFonts w:cstheme="minorHAnsi"/>
          <w:color w:val="000000" w:themeColor="text1"/>
          <w:sz w:val="28"/>
          <w:szCs w:val="28"/>
        </w:rPr>
      </w:pPr>
      <w:r w:rsidRPr="00C66A2E">
        <w:rPr>
          <w:rFonts w:cstheme="minorHAnsi"/>
          <w:color w:val="000000" w:themeColor="text1"/>
          <w:sz w:val="28"/>
          <w:szCs w:val="28"/>
        </w:rPr>
        <w:t xml:space="preserve">Ben Hegerty – </w:t>
      </w:r>
      <w:r w:rsidR="00397E11">
        <w:rPr>
          <w:rFonts w:cstheme="minorHAnsi"/>
          <w:color w:val="000000" w:themeColor="text1"/>
          <w:sz w:val="28"/>
          <w:szCs w:val="28"/>
        </w:rPr>
        <w:t>Wednesday 26</w:t>
      </w:r>
      <w:r w:rsidR="00397E11" w:rsidRPr="00397E11">
        <w:rPr>
          <w:rFonts w:cstheme="minorHAnsi"/>
          <w:color w:val="000000" w:themeColor="text1"/>
          <w:sz w:val="28"/>
          <w:szCs w:val="28"/>
          <w:vertAlign w:val="superscript"/>
        </w:rPr>
        <w:t>th</w:t>
      </w:r>
      <w:r w:rsidR="00397E11">
        <w:rPr>
          <w:rFonts w:cstheme="minorHAnsi"/>
          <w:color w:val="000000" w:themeColor="text1"/>
          <w:sz w:val="28"/>
          <w:szCs w:val="28"/>
        </w:rPr>
        <w:t xml:space="preserve"> August – 4:30pm</w:t>
      </w:r>
    </w:p>
    <w:p w:rsidR="00C66A2E" w:rsidRPr="00C66A2E" w:rsidRDefault="00C66A2E" w:rsidP="00C66A2E">
      <w:pPr>
        <w:spacing w:after="0" w:line="240" w:lineRule="auto"/>
        <w:rPr>
          <w:rFonts w:cstheme="minorHAnsi"/>
          <w:b/>
          <w:color w:val="0070C0"/>
          <w:sz w:val="28"/>
          <w:szCs w:val="28"/>
        </w:rPr>
      </w:pPr>
    </w:p>
    <w:p w:rsidR="00397E11" w:rsidRPr="00C66A2E" w:rsidRDefault="00397E11" w:rsidP="00397E11">
      <w:pPr>
        <w:spacing w:after="0" w:line="240" w:lineRule="auto"/>
        <w:jc w:val="both"/>
        <w:rPr>
          <w:rFonts w:cstheme="minorHAnsi"/>
          <w:b/>
          <w:color w:val="0070C0"/>
          <w:sz w:val="28"/>
          <w:szCs w:val="28"/>
        </w:rPr>
      </w:pPr>
      <w:r w:rsidRPr="00C66A2E">
        <w:rPr>
          <w:rFonts w:cstheme="minorHAnsi"/>
          <w:b/>
          <w:color w:val="0070C0"/>
          <w:sz w:val="28"/>
          <w:szCs w:val="28"/>
        </w:rPr>
        <w:t xml:space="preserve">The Value of the Three-Level Guide for Historical Inquiry </w:t>
      </w:r>
      <w:r w:rsidR="00A13C43">
        <w:rPr>
          <w:rFonts w:cstheme="minorHAnsi"/>
          <w:b/>
          <w:color w:val="0070C0"/>
          <w:sz w:val="28"/>
          <w:szCs w:val="28"/>
        </w:rPr>
        <w:t>(for both Middle School and Senior School)</w:t>
      </w:r>
    </w:p>
    <w:p w:rsidR="00397E11" w:rsidRPr="00C66A2E" w:rsidRDefault="00397E11" w:rsidP="00397E11">
      <w:pPr>
        <w:spacing w:after="0" w:line="240" w:lineRule="auto"/>
        <w:rPr>
          <w:rFonts w:cstheme="minorHAnsi"/>
          <w:color w:val="000000" w:themeColor="text1"/>
          <w:sz w:val="28"/>
          <w:szCs w:val="28"/>
        </w:rPr>
      </w:pPr>
      <w:r w:rsidRPr="00C66A2E">
        <w:rPr>
          <w:rFonts w:cstheme="minorHAnsi"/>
          <w:color w:val="000000" w:themeColor="text1"/>
          <w:sz w:val="28"/>
          <w:szCs w:val="28"/>
        </w:rPr>
        <w:t>Dr Glenn Davies –</w:t>
      </w:r>
      <w:r>
        <w:rPr>
          <w:rFonts w:cstheme="minorHAnsi"/>
          <w:color w:val="000000" w:themeColor="text1"/>
          <w:sz w:val="28"/>
          <w:szCs w:val="28"/>
        </w:rPr>
        <w:t xml:space="preserve"> Tuesday 1</w:t>
      </w:r>
      <w:r w:rsidRPr="00397E11">
        <w:rPr>
          <w:rFonts w:cstheme="minorHAnsi"/>
          <w:color w:val="000000" w:themeColor="text1"/>
          <w:sz w:val="28"/>
          <w:szCs w:val="28"/>
          <w:vertAlign w:val="superscript"/>
        </w:rPr>
        <w:t>ST</w:t>
      </w:r>
      <w:r>
        <w:rPr>
          <w:rFonts w:cstheme="minorHAnsi"/>
          <w:color w:val="000000" w:themeColor="text1"/>
          <w:sz w:val="28"/>
          <w:szCs w:val="28"/>
        </w:rPr>
        <w:t xml:space="preserve"> September – 4:30pm</w:t>
      </w:r>
    </w:p>
    <w:p w:rsidR="00B670AD" w:rsidRDefault="00B670AD" w:rsidP="00C66A2E">
      <w:pPr>
        <w:spacing w:after="0" w:line="240" w:lineRule="auto"/>
        <w:rPr>
          <w:rFonts w:cstheme="minorHAnsi"/>
          <w:b/>
          <w:color w:val="0070C0"/>
          <w:sz w:val="28"/>
          <w:szCs w:val="28"/>
        </w:rPr>
      </w:pPr>
    </w:p>
    <w:p w:rsidR="00062EDA" w:rsidRPr="00C66A2E" w:rsidRDefault="00C66A2E" w:rsidP="00C66A2E">
      <w:pPr>
        <w:spacing w:after="0" w:line="240" w:lineRule="auto"/>
        <w:rPr>
          <w:rFonts w:cstheme="minorHAnsi"/>
          <w:b/>
          <w:color w:val="0070C0"/>
          <w:sz w:val="28"/>
          <w:szCs w:val="28"/>
        </w:rPr>
      </w:pPr>
      <w:r w:rsidRPr="00C66A2E">
        <w:rPr>
          <w:rFonts w:cstheme="minorHAnsi"/>
          <w:b/>
          <w:color w:val="0070C0"/>
          <w:sz w:val="28"/>
          <w:szCs w:val="28"/>
        </w:rPr>
        <w:t>Contested Places, Contested Spaces: using statues and monuments as sources to teach the complexities of Public History</w:t>
      </w:r>
      <w:r w:rsidRPr="00C66A2E">
        <w:rPr>
          <w:rFonts w:cstheme="minorHAnsi"/>
          <w:b/>
          <w:color w:val="0070C0"/>
          <w:sz w:val="28"/>
          <w:szCs w:val="28"/>
        </w:rPr>
        <w:tab/>
      </w:r>
    </w:p>
    <w:p w:rsidR="00C66A2E" w:rsidRPr="00C66A2E" w:rsidRDefault="00C02966" w:rsidP="00C66A2E">
      <w:pPr>
        <w:spacing w:after="0" w:line="240" w:lineRule="auto"/>
        <w:rPr>
          <w:rFonts w:cstheme="minorHAnsi"/>
          <w:color w:val="000000" w:themeColor="text1"/>
          <w:sz w:val="28"/>
          <w:szCs w:val="28"/>
          <w:lang w:val="en-AU"/>
        </w:rPr>
      </w:pPr>
      <w:r>
        <w:rPr>
          <w:rFonts w:cstheme="minorHAnsi"/>
          <w:color w:val="000000" w:themeColor="text1"/>
          <w:sz w:val="28"/>
          <w:szCs w:val="28"/>
        </w:rPr>
        <w:t xml:space="preserve">Dr </w:t>
      </w:r>
      <w:r w:rsidR="00C66A2E" w:rsidRPr="00C66A2E">
        <w:rPr>
          <w:rFonts w:cstheme="minorHAnsi"/>
          <w:color w:val="000000" w:themeColor="text1"/>
          <w:sz w:val="28"/>
          <w:szCs w:val="28"/>
        </w:rPr>
        <w:t xml:space="preserve">Craig Johnston - </w:t>
      </w:r>
      <w:r w:rsidR="00397E11">
        <w:rPr>
          <w:rFonts w:cstheme="minorHAnsi"/>
          <w:color w:val="000000" w:themeColor="text1"/>
          <w:sz w:val="28"/>
          <w:szCs w:val="28"/>
        </w:rPr>
        <w:t>Wednesday 9</w:t>
      </w:r>
      <w:r w:rsidR="00397E11" w:rsidRPr="00397E11">
        <w:rPr>
          <w:rFonts w:cstheme="minorHAnsi"/>
          <w:color w:val="000000" w:themeColor="text1"/>
          <w:sz w:val="28"/>
          <w:szCs w:val="28"/>
          <w:vertAlign w:val="superscript"/>
        </w:rPr>
        <w:t>TH</w:t>
      </w:r>
      <w:r w:rsidR="00397E11">
        <w:rPr>
          <w:rFonts w:cstheme="minorHAnsi"/>
          <w:color w:val="000000" w:themeColor="text1"/>
          <w:sz w:val="28"/>
          <w:szCs w:val="28"/>
        </w:rPr>
        <w:t xml:space="preserve"> September – 4:30pm</w:t>
      </w:r>
    </w:p>
    <w:p w:rsidR="00B670AD" w:rsidRPr="00C66A2E" w:rsidRDefault="00B670AD" w:rsidP="00C66A2E">
      <w:pPr>
        <w:spacing w:after="0" w:line="240" w:lineRule="auto"/>
        <w:rPr>
          <w:rFonts w:cstheme="minorHAnsi"/>
          <w:sz w:val="28"/>
          <w:szCs w:val="28"/>
          <w:lang w:val="en-AU"/>
        </w:rPr>
      </w:pPr>
    </w:p>
    <w:p w:rsidR="00062EDA" w:rsidRPr="00A13C43" w:rsidRDefault="00062EDA" w:rsidP="00236674">
      <w:pPr>
        <w:spacing w:after="0" w:line="240" w:lineRule="auto"/>
        <w:rPr>
          <w:rFonts w:cstheme="minorHAnsi"/>
          <w:sz w:val="24"/>
          <w:szCs w:val="24"/>
          <w:lang w:val="en-AU"/>
        </w:rPr>
      </w:pPr>
      <w:r w:rsidRPr="00A13C43">
        <w:rPr>
          <w:rFonts w:cstheme="minorHAnsi"/>
          <w:sz w:val="24"/>
          <w:szCs w:val="24"/>
          <w:lang w:val="en-AU"/>
        </w:rPr>
        <w:t xml:space="preserve">QHTA presents the above webinars to further support teachers </w:t>
      </w:r>
      <w:r w:rsidR="00C02966">
        <w:rPr>
          <w:rFonts w:cstheme="minorHAnsi"/>
          <w:sz w:val="24"/>
          <w:szCs w:val="24"/>
          <w:lang w:val="en-AU"/>
        </w:rPr>
        <w:t>in their work. These three</w:t>
      </w:r>
      <w:r w:rsidR="002D1E73" w:rsidRPr="00A13C43">
        <w:rPr>
          <w:rFonts w:cstheme="minorHAnsi"/>
          <w:sz w:val="24"/>
          <w:szCs w:val="24"/>
          <w:lang w:val="en-AU"/>
        </w:rPr>
        <w:t xml:space="preserve"> webinars are repeated from our recent State Conference, </w:t>
      </w:r>
      <w:r w:rsidR="00C02966">
        <w:rPr>
          <w:rFonts w:cstheme="minorHAnsi"/>
          <w:sz w:val="24"/>
          <w:szCs w:val="24"/>
          <w:lang w:val="en-AU"/>
        </w:rPr>
        <w:t xml:space="preserve">with more focus on different year levels, both Ancient and Modern History and </w:t>
      </w:r>
      <w:r w:rsidR="002D1E73" w:rsidRPr="00A13C43">
        <w:rPr>
          <w:rFonts w:cstheme="minorHAnsi"/>
          <w:sz w:val="24"/>
          <w:szCs w:val="24"/>
          <w:lang w:val="en-AU"/>
        </w:rPr>
        <w:t>with more time allocated for discussion, questions etc.</w:t>
      </w:r>
    </w:p>
    <w:p w:rsidR="00A13C43" w:rsidRPr="00A13C43" w:rsidRDefault="00A13C43" w:rsidP="00236674">
      <w:pPr>
        <w:spacing w:after="0" w:line="240" w:lineRule="auto"/>
        <w:rPr>
          <w:rFonts w:cstheme="minorHAnsi"/>
          <w:sz w:val="24"/>
          <w:szCs w:val="24"/>
          <w:lang w:val="en-AU"/>
        </w:rPr>
      </w:pPr>
    </w:p>
    <w:p w:rsidR="00A13C43" w:rsidRPr="00A13C43" w:rsidRDefault="00A13C43" w:rsidP="00236674">
      <w:pPr>
        <w:spacing w:after="0" w:line="240" w:lineRule="auto"/>
        <w:rPr>
          <w:rFonts w:cstheme="minorHAnsi"/>
          <w:sz w:val="24"/>
          <w:szCs w:val="24"/>
          <w:lang w:val="en-AU"/>
        </w:rPr>
      </w:pPr>
      <w:r w:rsidRPr="00A13C43">
        <w:rPr>
          <w:rFonts w:cstheme="minorHAnsi"/>
          <w:sz w:val="24"/>
          <w:szCs w:val="24"/>
          <w:lang w:val="en-AU"/>
        </w:rPr>
        <w:t xml:space="preserve">**please note, these are live webinars and recordings will not be available. </w:t>
      </w:r>
    </w:p>
    <w:p w:rsidR="00062EDA" w:rsidRDefault="00062EDA" w:rsidP="00062EDA">
      <w:pPr>
        <w:spacing w:after="0" w:line="240" w:lineRule="auto"/>
        <w:rPr>
          <w:rFonts w:cstheme="minorHAnsi"/>
          <w:sz w:val="28"/>
          <w:szCs w:val="24"/>
          <w:lang w:val="en-AU"/>
        </w:rPr>
      </w:pPr>
    </w:p>
    <w:p w:rsidR="00062EDA" w:rsidRPr="00E118AE" w:rsidRDefault="00062EDA" w:rsidP="00062EDA">
      <w:pPr>
        <w:spacing w:after="0" w:line="240" w:lineRule="auto"/>
        <w:rPr>
          <w:rFonts w:cstheme="minorHAnsi"/>
          <w:b/>
          <w:sz w:val="28"/>
          <w:szCs w:val="24"/>
          <w:lang w:val="en-AU"/>
        </w:rPr>
      </w:pPr>
      <w:r w:rsidRPr="00E118AE">
        <w:rPr>
          <w:rFonts w:cstheme="minorHAnsi"/>
          <w:b/>
          <w:sz w:val="28"/>
          <w:szCs w:val="24"/>
          <w:lang w:val="en-AU"/>
        </w:rPr>
        <w:t xml:space="preserve">Cost: </w:t>
      </w:r>
    </w:p>
    <w:p w:rsidR="00062EDA" w:rsidRDefault="00062EDA" w:rsidP="00062EDA">
      <w:pPr>
        <w:spacing w:after="0" w:line="240" w:lineRule="auto"/>
        <w:rPr>
          <w:rFonts w:cstheme="minorHAnsi"/>
          <w:sz w:val="28"/>
          <w:szCs w:val="24"/>
          <w:lang w:val="en-AU"/>
        </w:rPr>
      </w:pPr>
      <w:r>
        <w:rPr>
          <w:rFonts w:cstheme="minorHAnsi"/>
          <w:sz w:val="28"/>
          <w:szCs w:val="24"/>
          <w:lang w:val="en-AU"/>
        </w:rPr>
        <w:t>Members:</w:t>
      </w:r>
    </w:p>
    <w:p w:rsidR="00062EDA" w:rsidRDefault="00062EDA" w:rsidP="00062EDA">
      <w:pPr>
        <w:spacing w:after="0" w:line="240" w:lineRule="auto"/>
        <w:rPr>
          <w:rFonts w:cstheme="minorHAnsi"/>
          <w:sz w:val="28"/>
          <w:szCs w:val="24"/>
          <w:lang w:val="en-AU"/>
        </w:rPr>
      </w:pPr>
      <w:r>
        <w:rPr>
          <w:rFonts w:cstheme="minorHAnsi"/>
          <w:sz w:val="28"/>
          <w:szCs w:val="24"/>
          <w:lang w:val="en-AU"/>
        </w:rPr>
        <w:t>$</w:t>
      </w:r>
      <w:r w:rsidR="00236674">
        <w:rPr>
          <w:rFonts w:cstheme="minorHAnsi"/>
          <w:sz w:val="28"/>
          <w:szCs w:val="24"/>
          <w:lang w:val="en-AU"/>
        </w:rPr>
        <w:t>20</w:t>
      </w:r>
      <w:r>
        <w:rPr>
          <w:rFonts w:cstheme="minorHAnsi"/>
          <w:sz w:val="28"/>
          <w:szCs w:val="24"/>
          <w:lang w:val="en-AU"/>
        </w:rPr>
        <w:t xml:space="preserve"> for one webinar</w:t>
      </w:r>
    </w:p>
    <w:p w:rsidR="00062EDA" w:rsidRDefault="00062EDA" w:rsidP="00062EDA">
      <w:pPr>
        <w:spacing w:after="0" w:line="240" w:lineRule="auto"/>
        <w:rPr>
          <w:rFonts w:cstheme="minorHAnsi"/>
          <w:sz w:val="28"/>
          <w:szCs w:val="24"/>
          <w:lang w:val="en-AU"/>
        </w:rPr>
      </w:pPr>
      <w:r>
        <w:rPr>
          <w:rFonts w:cstheme="minorHAnsi"/>
          <w:sz w:val="28"/>
          <w:szCs w:val="24"/>
          <w:lang w:val="en-AU"/>
        </w:rPr>
        <w:t>$</w:t>
      </w:r>
      <w:r w:rsidR="00C02966">
        <w:rPr>
          <w:rFonts w:cstheme="minorHAnsi"/>
          <w:sz w:val="28"/>
          <w:szCs w:val="24"/>
          <w:lang w:val="en-AU"/>
        </w:rPr>
        <w:t>30</w:t>
      </w:r>
      <w:r w:rsidR="00C66A2E">
        <w:rPr>
          <w:rFonts w:cstheme="minorHAnsi"/>
          <w:sz w:val="28"/>
          <w:szCs w:val="24"/>
          <w:lang w:val="en-AU"/>
        </w:rPr>
        <w:t xml:space="preserve"> for two webinars</w:t>
      </w:r>
    </w:p>
    <w:p w:rsidR="00C66A2E" w:rsidRDefault="00C02966" w:rsidP="00062EDA">
      <w:pPr>
        <w:spacing w:after="0" w:line="240" w:lineRule="auto"/>
        <w:rPr>
          <w:rFonts w:cstheme="minorHAnsi"/>
          <w:sz w:val="28"/>
          <w:szCs w:val="24"/>
          <w:lang w:val="en-AU"/>
        </w:rPr>
      </w:pPr>
      <w:r>
        <w:rPr>
          <w:rFonts w:cstheme="minorHAnsi"/>
          <w:sz w:val="28"/>
          <w:szCs w:val="24"/>
          <w:lang w:val="en-AU"/>
        </w:rPr>
        <w:t>$35</w:t>
      </w:r>
      <w:r w:rsidR="00C66A2E">
        <w:rPr>
          <w:rFonts w:cstheme="minorHAnsi"/>
          <w:sz w:val="28"/>
          <w:szCs w:val="24"/>
          <w:lang w:val="en-AU"/>
        </w:rPr>
        <w:t xml:space="preserve"> for three webinars</w:t>
      </w:r>
    </w:p>
    <w:p w:rsidR="00062EDA" w:rsidRDefault="00062EDA" w:rsidP="00062EDA">
      <w:pPr>
        <w:spacing w:after="0" w:line="240" w:lineRule="auto"/>
        <w:rPr>
          <w:rFonts w:cstheme="minorHAnsi"/>
          <w:sz w:val="28"/>
          <w:szCs w:val="24"/>
          <w:lang w:val="en-AU"/>
        </w:rPr>
      </w:pPr>
    </w:p>
    <w:p w:rsidR="00062EDA" w:rsidRDefault="00062EDA" w:rsidP="00062EDA">
      <w:pPr>
        <w:spacing w:after="0" w:line="240" w:lineRule="auto"/>
        <w:rPr>
          <w:rFonts w:cstheme="minorHAnsi"/>
          <w:sz w:val="28"/>
          <w:szCs w:val="24"/>
          <w:lang w:val="en-AU"/>
        </w:rPr>
      </w:pPr>
      <w:r>
        <w:rPr>
          <w:rFonts w:cstheme="minorHAnsi"/>
          <w:sz w:val="28"/>
          <w:szCs w:val="24"/>
          <w:lang w:val="en-AU"/>
        </w:rPr>
        <w:t>Non-members:</w:t>
      </w:r>
    </w:p>
    <w:p w:rsidR="00062EDA" w:rsidRDefault="00C66A2E" w:rsidP="00062EDA">
      <w:pPr>
        <w:spacing w:after="0" w:line="240" w:lineRule="auto"/>
        <w:rPr>
          <w:rFonts w:cstheme="minorHAnsi"/>
          <w:sz w:val="28"/>
          <w:szCs w:val="24"/>
          <w:lang w:val="en-AU"/>
        </w:rPr>
      </w:pPr>
      <w:r>
        <w:rPr>
          <w:rFonts w:cstheme="minorHAnsi"/>
          <w:sz w:val="28"/>
          <w:szCs w:val="24"/>
          <w:lang w:val="en-AU"/>
        </w:rPr>
        <w:t>$30</w:t>
      </w:r>
      <w:r w:rsidR="00E118AE">
        <w:rPr>
          <w:rFonts w:cstheme="minorHAnsi"/>
          <w:sz w:val="28"/>
          <w:szCs w:val="24"/>
          <w:lang w:val="en-AU"/>
        </w:rPr>
        <w:t xml:space="preserve"> for one webinar</w:t>
      </w:r>
    </w:p>
    <w:p w:rsidR="00E118AE" w:rsidRDefault="00C66A2E" w:rsidP="00062EDA">
      <w:pPr>
        <w:spacing w:after="0" w:line="240" w:lineRule="auto"/>
        <w:rPr>
          <w:rFonts w:cstheme="minorHAnsi"/>
          <w:sz w:val="28"/>
          <w:szCs w:val="24"/>
          <w:lang w:val="en-AU"/>
        </w:rPr>
      </w:pPr>
      <w:r>
        <w:rPr>
          <w:rFonts w:cstheme="minorHAnsi"/>
          <w:sz w:val="28"/>
          <w:szCs w:val="24"/>
          <w:lang w:val="en-AU"/>
        </w:rPr>
        <w:t>$50 for two webinars</w:t>
      </w:r>
    </w:p>
    <w:p w:rsidR="00C66A2E" w:rsidRDefault="00A13C43" w:rsidP="00062EDA">
      <w:pPr>
        <w:spacing w:after="0" w:line="240" w:lineRule="auto"/>
        <w:rPr>
          <w:rFonts w:cstheme="minorHAnsi"/>
          <w:sz w:val="28"/>
          <w:szCs w:val="24"/>
          <w:lang w:val="en-AU"/>
        </w:rPr>
      </w:pPr>
      <w:r>
        <w:rPr>
          <w:rFonts w:cstheme="minorHAnsi"/>
          <w:sz w:val="28"/>
          <w:szCs w:val="24"/>
          <w:lang w:val="en-AU"/>
        </w:rPr>
        <w:t>$70</w:t>
      </w:r>
      <w:r w:rsidR="00C66A2E">
        <w:rPr>
          <w:rFonts w:cstheme="minorHAnsi"/>
          <w:sz w:val="28"/>
          <w:szCs w:val="24"/>
          <w:lang w:val="en-AU"/>
        </w:rPr>
        <w:t xml:space="preserve"> for three webinars</w:t>
      </w:r>
    </w:p>
    <w:p w:rsidR="00E118AE" w:rsidRDefault="00E118AE" w:rsidP="00062EDA">
      <w:pPr>
        <w:spacing w:after="0" w:line="240" w:lineRule="auto"/>
        <w:rPr>
          <w:rFonts w:cstheme="minorHAnsi"/>
          <w:sz w:val="28"/>
          <w:szCs w:val="24"/>
          <w:lang w:val="en-AU"/>
        </w:rPr>
      </w:pPr>
    </w:p>
    <w:p w:rsidR="00CF5F49" w:rsidRDefault="00E118AE" w:rsidP="00CF5F49">
      <w:pPr>
        <w:rPr>
          <w:rFonts w:eastAsia="Times New Roman"/>
        </w:rPr>
      </w:pPr>
      <w:r w:rsidRPr="00CF5F49">
        <w:rPr>
          <w:rFonts w:cstheme="minorHAnsi"/>
          <w:sz w:val="28"/>
          <w:szCs w:val="24"/>
          <w:lang w:val="en-AU"/>
        </w:rPr>
        <w:t>Registration here:</w:t>
      </w:r>
      <w:r>
        <w:rPr>
          <w:rFonts w:cstheme="minorHAnsi"/>
          <w:sz w:val="28"/>
          <w:szCs w:val="24"/>
          <w:lang w:val="en-AU"/>
        </w:rPr>
        <w:t xml:space="preserve"> </w:t>
      </w:r>
      <w:hyperlink r:id="rId6" w:history="1">
        <w:r w:rsidR="00EE160E">
          <w:rPr>
            <w:rStyle w:val="Hyperlink"/>
          </w:rPr>
          <w:t>http://qhta.com.au/professional-development-workshops_2020/</w:t>
        </w:r>
      </w:hyperlink>
    </w:p>
    <w:p w:rsidR="00062EDA" w:rsidRDefault="00062EDA" w:rsidP="00062EDA">
      <w:pPr>
        <w:rPr>
          <w:lang w:val="en-AU"/>
        </w:rPr>
      </w:pPr>
    </w:p>
    <w:p w:rsidR="00E118AE" w:rsidRPr="00E118AE" w:rsidRDefault="00E118AE" w:rsidP="00062EDA">
      <w:pPr>
        <w:rPr>
          <w:b/>
          <w:sz w:val="32"/>
          <w:szCs w:val="32"/>
          <w:lang w:val="en-AU"/>
        </w:rPr>
      </w:pPr>
      <w:r w:rsidRPr="00E118AE">
        <w:rPr>
          <w:b/>
          <w:sz w:val="32"/>
          <w:szCs w:val="32"/>
          <w:lang w:val="en-AU"/>
        </w:rPr>
        <w:lastRenderedPageBreak/>
        <w:t>About the webinars:</w:t>
      </w:r>
    </w:p>
    <w:p w:rsidR="00C66A2E" w:rsidRPr="005A0293" w:rsidRDefault="00C66A2E" w:rsidP="00C66A2E">
      <w:pPr>
        <w:spacing w:after="0" w:line="240" w:lineRule="auto"/>
        <w:jc w:val="both"/>
        <w:rPr>
          <w:rFonts w:cstheme="minorHAnsi"/>
          <w:b/>
          <w:color w:val="0070C0"/>
          <w:sz w:val="24"/>
        </w:rPr>
      </w:pPr>
      <w:r w:rsidRPr="005A0293">
        <w:rPr>
          <w:rFonts w:cstheme="minorHAnsi"/>
          <w:b/>
          <w:color w:val="0070C0"/>
          <w:sz w:val="24"/>
        </w:rPr>
        <w:t>Ben Hegerty - History Essentials for Teachers</w:t>
      </w:r>
    </w:p>
    <w:p w:rsidR="00C66A2E" w:rsidRDefault="00C66A2E" w:rsidP="00C66A2E">
      <w:pPr>
        <w:spacing w:after="0" w:line="240" w:lineRule="auto"/>
        <w:jc w:val="both"/>
        <w:rPr>
          <w:szCs w:val="20"/>
        </w:rPr>
      </w:pPr>
    </w:p>
    <w:p w:rsidR="00C66A2E" w:rsidRPr="00706B55" w:rsidRDefault="00397E11" w:rsidP="00C66A2E">
      <w:pPr>
        <w:spacing w:after="0" w:line="240" w:lineRule="auto"/>
        <w:jc w:val="both"/>
        <w:rPr>
          <w:szCs w:val="20"/>
        </w:rPr>
      </w:pPr>
      <w:r>
        <w:rPr>
          <w:szCs w:val="20"/>
        </w:rPr>
        <w:t>While this</w:t>
      </w:r>
      <w:r w:rsidR="00C66A2E" w:rsidRPr="00706B55">
        <w:rPr>
          <w:szCs w:val="20"/>
        </w:rPr>
        <w:t xml:space="preserve"> </w:t>
      </w:r>
      <w:r>
        <w:rPr>
          <w:szCs w:val="20"/>
        </w:rPr>
        <w:t>webinar</w:t>
      </w:r>
      <w:r w:rsidR="00C66A2E" w:rsidRPr="00706B55">
        <w:rPr>
          <w:szCs w:val="20"/>
        </w:rPr>
        <w:t xml:space="preserve"> is aimed at History teachers in the early stages of their career, as well as pre-service teachers and teachers who may have had limited opportunities for formal training or professional </w:t>
      </w:r>
      <w:r>
        <w:rPr>
          <w:szCs w:val="20"/>
        </w:rPr>
        <w:t xml:space="preserve">development, it would be of value for anyone looking to refine and expand their </w:t>
      </w:r>
      <w:r w:rsidR="00C66A2E" w:rsidRPr="00706B55">
        <w:rPr>
          <w:szCs w:val="20"/>
        </w:rPr>
        <w:t>practice of Secondary History teaching. It will cover the following topics:</w:t>
      </w:r>
    </w:p>
    <w:p w:rsidR="00C66A2E" w:rsidRPr="00706B55" w:rsidRDefault="00C66A2E" w:rsidP="00C66A2E">
      <w:pPr>
        <w:numPr>
          <w:ilvl w:val="0"/>
          <w:numId w:val="1"/>
        </w:numPr>
        <w:spacing w:after="0" w:line="240" w:lineRule="auto"/>
        <w:contextualSpacing/>
        <w:jc w:val="both"/>
        <w:rPr>
          <w:rFonts w:eastAsia="Times New Roman"/>
          <w:szCs w:val="20"/>
        </w:rPr>
      </w:pPr>
      <w:r w:rsidRPr="00706B55">
        <w:rPr>
          <w:rFonts w:eastAsia="Times New Roman"/>
          <w:szCs w:val="20"/>
        </w:rPr>
        <w:t xml:space="preserve">Strategies for helping your students improve their source evaluation skills  </w:t>
      </w:r>
    </w:p>
    <w:p w:rsidR="00C66A2E" w:rsidRPr="00706B55" w:rsidRDefault="00C66A2E" w:rsidP="00C66A2E">
      <w:pPr>
        <w:numPr>
          <w:ilvl w:val="0"/>
          <w:numId w:val="1"/>
        </w:numPr>
        <w:spacing w:after="0" w:line="240" w:lineRule="auto"/>
        <w:contextualSpacing/>
        <w:jc w:val="both"/>
        <w:rPr>
          <w:rFonts w:eastAsia="Times New Roman"/>
          <w:szCs w:val="20"/>
        </w:rPr>
      </w:pPr>
      <w:r w:rsidRPr="00706B55">
        <w:rPr>
          <w:rFonts w:eastAsia="Times New Roman"/>
          <w:szCs w:val="20"/>
        </w:rPr>
        <w:t>Using sentence starters to help students improve their argumentative writing structure</w:t>
      </w:r>
    </w:p>
    <w:p w:rsidR="00C66A2E" w:rsidRPr="00706B55" w:rsidRDefault="00C66A2E" w:rsidP="00C66A2E">
      <w:pPr>
        <w:numPr>
          <w:ilvl w:val="0"/>
          <w:numId w:val="1"/>
        </w:numPr>
        <w:spacing w:after="0" w:line="240" w:lineRule="auto"/>
        <w:contextualSpacing/>
        <w:jc w:val="both"/>
        <w:rPr>
          <w:rFonts w:eastAsia="Times New Roman"/>
          <w:szCs w:val="20"/>
        </w:rPr>
      </w:pPr>
      <w:r w:rsidRPr="00706B55">
        <w:rPr>
          <w:rFonts w:eastAsia="Times New Roman"/>
          <w:szCs w:val="20"/>
        </w:rPr>
        <w:t xml:space="preserve">Helping students develop nuanced research inquiry questions  </w:t>
      </w:r>
    </w:p>
    <w:p w:rsidR="00C66A2E" w:rsidRPr="00706B55" w:rsidRDefault="00C66A2E" w:rsidP="00C66A2E">
      <w:pPr>
        <w:numPr>
          <w:ilvl w:val="0"/>
          <w:numId w:val="1"/>
        </w:numPr>
        <w:spacing w:after="0" w:line="240" w:lineRule="auto"/>
        <w:contextualSpacing/>
        <w:jc w:val="both"/>
        <w:rPr>
          <w:rFonts w:eastAsia="Times New Roman"/>
          <w:szCs w:val="20"/>
        </w:rPr>
      </w:pPr>
      <w:r w:rsidRPr="00706B55">
        <w:rPr>
          <w:rFonts w:eastAsia="Times New Roman"/>
          <w:szCs w:val="20"/>
        </w:rPr>
        <w:t xml:space="preserve">Useful and easily implemented routines and activities to develop thinking skills </w:t>
      </w:r>
    </w:p>
    <w:p w:rsidR="00C66A2E" w:rsidRPr="00706B55" w:rsidRDefault="00C66A2E" w:rsidP="00C66A2E">
      <w:pPr>
        <w:numPr>
          <w:ilvl w:val="0"/>
          <w:numId w:val="1"/>
        </w:numPr>
        <w:spacing w:after="0" w:line="240" w:lineRule="auto"/>
        <w:contextualSpacing/>
        <w:jc w:val="both"/>
        <w:rPr>
          <w:rFonts w:eastAsia="Times New Roman"/>
          <w:szCs w:val="20"/>
        </w:rPr>
      </w:pPr>
      <w:r w:rsidRPr="00706B55">
        <w:rPr>
          <w:rFonts w:eastAsia="Times New Roman"/>
          <w:szCs w:val="20"/>
        </w:rPr>
        <w:t>How to build formative assessment opportunities into your lessons</w:t>
      </w:r>
    </w:p>
    <w:p w:rsidR="00C66A2E" w:rsidRDefault="00C66A2E" w:rsidP="00C66A2E">
      <w:pPr>
        <w:spacing w:after="0" w:line="240" w:lineRule="auto"/>
        <w:jc w:val="both"/>
        <w:rPr>
          <w:szCs w:val="20"/>
        </w:rPr>
      </w:pPr>
      <w:r w:rsidRPr="00706B55">
        <w:rPr>
          <w:szCs w:val="20"/>
        </w:rPr>
        <w:t>All participants will hopefully come away from this with a few new ideas and resources that can be immediately be implemented in their History classroom.</w:t>
      </w:r>
    </w:p>
    <w:p w:rsidR="00C66A2E" w:rsidRPr="00706B55" w:rsidRDefault="00C66A2E" w:rsidP="00C66A2E">
      <w:pPr>
        <w:spacing w:after="0" w:line="240" w:lineRule="auto"/>
        <w:jc w:val="both"/>
        <w:rPr>
          <w:szCs w:val="20"/>
          <w:lang w:eastAsia="en-AU"/>
        </w:rPr>
      </w:pPr>
    </w:p>
    <w:p w:rsidR="00C66A2E" w:rsidRDefault="00C66A2E" w:rsidP="00C66A2E">
      <w:pPr>
        <w:spacing w:after="0" w:line="240" w:lineRule="auto"/>
        <w:jc w:val="both"/>
        <w:rPr>
          <w:i/>
          <w:szCs w:val="20"/>
        </w:rPr>
      </w:pPr>
      <w:r w:rsidRPr="00706B55">
        <w:rPr>
          <w:i/>
          <w:szCs w:val="20"/>
        </w:rPr>
        <w:t xml:space="preserve">Ben Hegerty is a History teacher and Head of Department at </w:t>
      </w:r>
      <w:proofErr w:type="spellStart"/>
      <w:r w:rsidRPr="00706B55">
        <w:rPr>
          <w:i/>
          <w:szCs w:val="20"/>
        </w:rPr>
        <w:t>Stuartholme</w:t>
      </w:r>
      <w:proofErr w:type="spellEnd"/>
      <w:r w:rsidRPr="00706B55">
        <w:rPr>
          <w:i/>
          <w:szCs w:val="20"/>
        </w:rPr>
        <w:t xml:space="preserve"> School, </w:t>
      </w:r>
      <w:proofErr w:type="spellStart"/>
      <w:r w:rsidRPr="00706B55">
        <w:rPr>
          <w:i/>
          <w:szCs w:val="20"/>
        </w:rPr>
        <w:t>Toowo</w:t>
      </w:r>
      <w:r>
        <w:rPr>
          <w:i/>
          <w:szCs w:val="20"/>
        </w:rPr>
        <w:t>ng</w:t>
      </w:r>
      <w:proofErr w:type="spellEnd"/>
      <w:r>
        <w:rPr>
          <w:i/>
          <w:szCs w:val="20"/>
        </w:rPr>
        <w:t>. He is a member of the QHTA E</w:t>
      </w:r>
      <w:r w:rsidRPr="00706B55">
        <w:rPr>
          <w:i/>
          <w:szCs w:val="20"/>
        </w:rPr>
        <w:t xml:space="preserve">xecutive and has contributed to the QCAA in various roles, as the Brisbane Central District Panel Chair for Ancient History, QCAA Subject Matter Expert for Ancient History, Lead Endorser and Lead Confirmer. Ben was involved as a contributing author for the Cambridge University Press textbook, </w:t>
      </w:r>
      <w:r w:rsidRPr="00706B55">
        <w:rPr>
          <w:i/>
          <w:iCs/>
          <w:szCs w:val="20"/>
        </w:rPr>
        <w:t>Senior Ancient History for Queensland</w:t>
      </w:r>
      <w:r w:rsidRPr="00706B55">
        <w:rPr>
          <w:i/>
          <w:szCs w:val="20"/>
        </w:rPr>
        <w:t xml:space="preserve">, and he has recently completed his Master of History through the University of New England. </w:t>
      </w:r>
    </w:p>
    <w:p w:rsidR="00062EDA" w:rsidRPr="00062EDA" w:rsidRDefault="00062EDA" w:rsidP="00062EDA">
      <w:pPr>
        <w:spacing w:after="0" w:line="240" w:lineRule="auto"/>
        <w:rPr>
          <w:rFonts w:cstheme="minorHAnsi"/>
          <w:sz w:val="24"/>
          <w:szCs w:val="24"/>
          <w:lang w:val="en-AU"/>
        </w:rPr>
      </w:pPr>
    </w:p>
    <w:p w:rsidR="00C66A2E" w:rsidRDefault="00C66A2E" w:rsidP="00C66A2E">
      <w:pPr>
        <w:spacing w:after="0" w:line="240" w:lineRule="auto"/>
        <w:jc w:val="both"/>
        <w:rPr>
          <w:rFonts w:cstheme="minorHAnsi"/>
          <w:b/>
          <w:color w:val="0070C0"/>
          <w:sz w:val="24"/>
        </w:rPr>
      </w:pPr>
      <w:r w:rsidRPr="005A0293">
        <w:rPr>
          <w:rFonts w:cstheme="minorHAnsi"/>
          <w:b/>
          <w:color w:val="0070C0"/>
          <w:sz w:val="24"/>
        </w:rPr>
        <w:t xml:space="preserve">Dr Glenn Davies - The Value of the Three-Level Guide </w:t>
      </w:r>
      <w:r>
        <w:rPr>
          <w:rFonts w:cstheme="minorHAnsi"/>
          <w:b/>
          <w:color w:val="0070C0"/>
          <w:sz w:val="24"/>
        </w:rPr>
        <w:t xml:space="preserve">for Historical Inquiry </w:t>
      </w:r>
      <w:r w:rsidR="00A13C43">
        <w:rPr>
          <w:rFonts w:cstheme="minorHAnsi"/>
          <w:b/>
          <w:color w:val="0070C0"/>
          <w:sz w:val="24"/>
        </w:rPr>
        <w:t>(for Middle School and Senior School)</w:t>
      </w:r>
    </w:p>
    <w:p w:rsidR="005F59CF" w:rsidRDefault="005F59CF" w:rsidP="00C66A2E">
      <w:pPr>
        <w:spacing w:after="0" w:line="240" w:lineRule="auto"/>
        <w:jc w:val="both"/>
        <w:rPr>
          <w:rFonts w:cstheme="minorHAnsi"/>
          <w:b/>
          <w:color w:val="0070C0"/>
          <w:sz w:val="24"/>
        </w:rPr>
      </w:pPr>
    </w:p>
    <w:p w:rsidR="005F59CF" w:rsidRPr="005F59CF" w:rsidRDefault="005F59CF" w:rsidP="005F59CF">
      <w:pPr>
        <w:spacing w:after="0" w:line="240" w:lineRule="auto"/>
        <w:jc w:val="both"/>
        <w:rPr>
          <w:rFonts w:cstheme="minorHAnsi"/>
          <w:szCs w:val="20"/>
        </w:rPr>
      </w:pPr>
      <w:r w:rsidRPr="005F59CF">
        <w:rPr>
          <w:rFonts w:cstheme="minorHAnsi"/>
          <w:szCs w:val="20"/>
        </w:rPr>
        <w:t xml:space="preserve">NB. As a point of difference to the session run as part of our Conference, this session will include examples for both Middle School and Senior School. </w:t>
      </w:r>
    </w:p>
    <w:p w:rsidR="00C66A2E" w:rsidRPr="00DF1EF7" w:rsidRDefault="00C66A2E" w:rsidP="00C66A2E">
      <w:pPr>
        <w:spacing w:after="0" w:line="240" w:lineRule="auto"/>
        <w:jc w:val="both"/>
        <w:rPr>
          <w:rFonts w:cstheme="minorHAnsi"/>
          <w:b/>
          <w:sz w:val="24"/>
        </w:rPr>
      </w:pPr>
    </w:p>
    <w:p w:rsidR="00C66A2E" w:rsidRPr="00946A9B" w:rsidRDefault="00C66A2E" w:rsidP="00C66A2E">
      <w:pPr>
        <w:pStyle w:val="Header"/>
        <w:jc w:val="both"/>
        <w:rPr>
          <w:rFonts w:cstheme="minorHAnsi"/>
          <w:szCs w:val="20"/>
        </w:rPr>
      </w:pPr>
      <w:r w:rsidRPr="00DF1EF7">
        <w:rPr>
          <w:rFonts w:cstheme="minorHAnsi"/>
          <w:b/>
          <w:sz w:val="24"/>
        </w:rPr>
        <w:tab/>
      </w:r>
      <w:r w:rsidRPr="00946A9B">
        <w:rPr>
          <w:rFonts w:cstheme="minorHAnsi"/>
          <w:szCs w:val="20"/>
        </w:rPr>
        <w:t xml:space="preserve">The Three Level Guide strategy is an effective way to improve reading comprehension and the subsequent writing, as well as develop higher order thinking. </w:t>
      </w:r>
    </w:p>
    <w:p w:rsidR="00C66A2E" w:rsidRPr="00946A9B" w:rsidRDefault="00C66A2E" w:rsidP="00C66A2E">
      <w:pPr>
        <w:pStyle w:val="Header"/>
        <w:jc w:val="both"/>
        <w:rPr>
          <w:rFonts w:cstheme="minorHAnsi"/>
          <w:szCs w:val="20"/>
        </w:rPr>
      </w:pPr>
      <w:r w:rsidRPr="00946A9B">
        <w:rPr>
          <w:rFonts w:cstheme="minorHAnsi"/>
          <w:szCs w:val="20"/>
        </w:rPr>
        <w:t xml:space="preserve">Three Level Guides were developed by </w:t>
      </w:r>
      <w:proofErr w:type="spellStart"/>
      <w:r w:rsidRPr="00946A9B">
        <w:rPr>
          <w:rFonts w:cstheme="minorHAnsi"/>
          <w:szCs w:val="20"/>
        </w:rPr>
        <w:t>Herber</w:t>
      </w:r>
      <w:proofErr w:type="spellEnd"/>
      <w:r w:rsidRPr="00946A9B">
        <w:rPr>
          <w:rFonts w:cstheme="minorHAnsi"/>
          <w:szCs w:val="20"/>
        </w:rPr>
        <w:t xml:space="preserve"> (1970) as a means of improving reading comprehension.</w:t>
      </w:r>
    </w:p>
    <w:p w:rsidR="00C66A2E" w:rsidRPr="00946A9B" w:rsidRDefault="00C66A2E" w:rsidP="00C66A2E">
      <w:pPr>
        <w:pStyle w:val="Header"/>
        <w:numPr>
          <w:ilvl w:val="0"/>
          <w:numId w:val="2"/>
        </w:numPr>
        <w:jc w:val="both"/>
        <w:rPr>
          <w:rFonts w:cstheme="minorHAnsi"/>
          <w:i/>
          <w:szCs w:val="20"/>
        </w:rPr>
      </w:pPr>
      <w:r w:rsidRPr="00946A9B">
        <w:rPr>
          <w:rFonts w:cstheme="minorHAnsi"/>
          <w:i/>
          <w:szCs w:val="20"/>
        </w:rPr>
        <w:t>Literal Comprehension: reading on the lines to see what is actually said.</w:t>
      </w:r>
    </w:p>
    <w:p w:rsidR="00C66A2E" w:rsidRPr="00946A9B" w:rsidRDefault="00C66A2E" w:rsidP="00C66A2E">
      <w:pPr>
        <w:pStyle w:val="Header"/>
        <w:numPr>
          <w:ilvl w:val="0"/>
          <w:numId w:val="2"/>
        </w:numPr>
        <w:jc w:val="both"/>
        <w:rPr>
          <w:rFonts w:cstheme="minorHAnsi"/>
          <w:i/>
          <w:szCs w:val="20"/>
        </w:rPr>
      </w:pPr>
      <w:r w:rsidRPr="00946A9B">
        <w:rPr>
          <w:rFonts w:cstheme="minorHAnsi"/>
          <w:i/>
          <w:szCs w:val="20"/>
        </w:rPr>
        <w:t>Interpretative Comprehension: reading between the lines to make inferences about what the author might mean.</w:t>
      </w:r>
    </w:p>
    <w:p w:rsidR="00C66A2E" w:rsidRPr="00946A9B" w:rsidRDefault="00C66A2E" w:rsidP="00C66A2E">
      <w:pPr>
        <w:pStyle w:val="Header"/>
        <w:numPr>
          <w:ilvl w:val="0"/>
          <w:numId w:val="2"/>
        </w:numPr>
        <w:jc w:val="both"/>
        <w:rPr>
          <w:rFonts w:cstheme="minorHAnsi"/>
          <w:i/>
          <w:szCs w:val="20"/>
        </w:rPr>
      </w:pPr>
      <w:r w:rsidRPr="00946A9B">
        <w:rPr>
          <w:rFonts w:cstheme="minorHAnsi"/>
          <w:i/>
          <w:szCs w:val="20"/>
        </w:rPr>
        <w:t>Applied Comprehension: reading beyond the lines to make associations with other knowledge, to solve problems and to modify existing perceptions.</w:t>
      </w:r>
    </w:p>
    <w:p w:rsidR="00C66A2E" w:rsidRPr="00946A9B" w:rsidRDefault="00C66A2E" w:rsidP="00C66A2E">
      <w:pPr>
        <w:pStyle w:val="Header"/>
        <w:jc w:val="both"/>
        <w:rPr>
          <w:rFonts w:cstheme="minorHAnsi"/>
          <w:szCs w:val="20"/>
        </w:rPr>
      </w:pPr>
    </w:p>
    <w:p w:rsidR="00C66A2E" w:rsidRPr="00946A9B" w:rsidRDefault="00C66A2E" w:rsidP="00C66A2E">
      <w:pPr>
        <w:pStyle w:val="Header"/>
        <w:jc w:val="both"/>
        <w:rPr>
          <w:rFonts w:cstheme="minorHAnsi"/>
          <w:szCs w:val="20"/>
        </w:rPr>
      </w:pPr>
      <w:r w:rsidRPr="00946A9B">
        <w:rPr>
          <w:rFonts w:cstheme="minorHAnsi"/>
          <w:szCs w:val="20"/>
        </w:rPr>
        <w:t>The support for the Three Level Guide strategy emanated from the 1980s, when the Learning to Learn through Reading (LTLTR) in-service program was implemented across Queensland. The LTLTR program was a practical adoption of a conceptual framework of curriculum area learning strategies known as ERICA, or Effective Reading in the Content Areas, developed by Morris and Stewart-Dore (1984). LTLTR Units were developed at the time based on sections from class textbooks and followed the following sequence:</w:t>
      </w:r>
    </w:p>
    <w:p w:rsidR="00C66A2E" w:rsidRPr="00946A9B" w:rsidRDefault="00C66A2E" w:rsidP="00C66A2E">
      <w:pPr>
        <w:pStyle w:val="Header"/>
        <w:numPr>
          <w:ilvl w:val="0"/>
          <w:numId w:val="3"/>
        </w:numPr>
        <w:jc w:val="both"/>
        <w:rPr>
          <w:rFonts w:cstheme="minorHAnsi"/>
          <w:i/>
          <w:szCs w:val="20"/>
        </w:rPr>
      </w:pPr>
      <w:r w:rsidRPr="00946A9B">
        <w:rPr>
          <w:rFonts w:cstheme="minorHAnsi"/>
          <w:i/>
          <w:szCs w:val="20"/>
        </w:rPr>
        <w:t>Preparing to Read</w:t>
      </w:r>
    </w:p>
    <w:p w:rsidR="00C66A2E" w:rsidRPr="00946A9B" w:rsidRDefault="00C66A2E" w:rsidP="00C66A2E">
      <w:pPr>
        <w:pStyle w:val="Header"/>
        <w:numPr>
          <w:ilvl w:val="0"/>
          <w:numId w:val="3"/>
        </w:numPr>
        <w:jc w:val="both"/>
        <w:rPr>
          <w:rFonts w:cstheme="minorHAnsi"/>
          <w:i/>
          <w:szCs w:val="20"/>
        </w:rPr>
      </w:pPr>
      <w:r w:rsidRPr="00946A9B">
        <w:rPr>
          <w:rFonts w:cstheme="minorHAnsi"/>
          <w:i/>
          <w:szCs w:val="20"/>
        </w:rPr>
        <w:t>Thinking Through</w:t>
      </w:r>
    </w:p>
    <w:p w:rsidR="00C66A2E" w:rsidRPr="00946A9B" w:rsidRDefault="00C66A2E" w:rsidP="00C66A2E">
      <w:pPr>
        <w:pStyle w:val="Header"/>
        <w:numPr>
          <w:ilvl w:val="0"/>
          <w:numId w:val="3"/>
        </w:numPr>
        <w:jc w:val="both"/>
        <w:rPr>
          <w:rFonts w:cstheme="minorHAnsi"/>
          <w:i/>
          <w:szCs w:val="20"/>
        </w:rPr>
      </w:pPr>
      <w:r w:rsidRPr="00946A9B">
        <w:rPr>
          <w:rFonts w:cstheme="minorHAnsi"/>
          <w:i/>
          <w:szCs w:val="20"/>
        </w:rPr>
        <w:t>Extracting and Organising</w:t>
      </w:r>
    </w:p>
    <w:p w:rsidR="00C66A2E" w:rsidRPr="00946A9B" w:rsidRDefault="00C66A2E" w:rsidP="00C66A2E">
      <w:pPr>
        <w:pStyle w:val="Header"/>
        <w:numPr>
          <w:ilvl w:val="0"/>
          <w:numId w:val="3"/>
        </w:numPr>
        <w:jc w:val="both"/>
        <w:rPr>
          <w:rFonts w:cstheme="minorHAnsi"/>
          <w:i/>
          <w:szCs w:val="20"/>
        </w:rPr>
      </w:pPr>
      <w:r w:rsidRPr="00946A9B">
        <w:rPr>
          <w:rFonts w:cstheme="minorHAnsi"/>
          <w:i/>
          <w:szCs w:val="20"/>
        </w:rPr>
        <w:lastRenderedPageBreak/>
        <w:t>Translation</w:t>
      </w:r>
      <w:r w:rsidRPr="00946A9B">
        <w:rPr>
          <w:rFonts w:cstheme="minorHAnsi"/>
          <w:i/>
          <w:szCs w:val="20"/>
        </w:rPr>
        <w:fldChar w:fldCharType="begin"/>
      </w:r>
      <w:r w:rsidRPr="00946A9B">
        <w:rPr>
          <w:rFonts w:cstheme="minorHAnsi"/>
          <w:i/>
          <w:szCs w:val="20"/>
        </w:rPr>
        <w:instrText xml:space="preserve"> AUTOTEXT  " Blank"  \* MERGEFORMAT </w:instrText>
      </w:r>
      <w:r w:rsidRPr="00946A9B">
        <w:rPr>
          <w:rFonts w:cstheme="minorHAnsi"/>
          <w:i/>
          <w:szCs w:val="20"/>
        </w:rPr>
        <w:fldChar w:fldCharType="separate"/>
      </w:r>
    </w:p>
    <w:p w:rsidR="00C66A2E" w:rsidRPr="00946A9B" w:rsidRDefault="00C66A2E" w:rsidP="00C66A2E">
      <w:pPr>
        <w:spacing w:after="0" w:line="240" w:lineRule="auto"/>
        <w:jc w:val="both"/>
        <w:rPr>
          <w:rFonts w:cstheme="minorHAnsi"/>
          <w:i/>
          <w:szCs w:val="20"/>
        </w:rPr>
      </w:pPr>
      <w:r w:rsidRPr="00946A9B">
        <w:rPr>
          <w:rFonts w:cstheme="minorHAnsi"/>
          <w:i/>
          <w:szCs w:val="20"/>
        </w:rPr>
        <w:fldChar w:fldCharType="end"/>
      </w:r>
    </w:p>
    <w:p w:rsidR="00C66A2E" w:rsidRPr="00946A9B" w:rsidRDefault="00C66A2E" w:rsidP="00C66A2E">
      <w:pPr>
        <w:spacing w:after="0" w:line="240" w:lineRule="auto"/>
        <w:jc w:val="both"/>
        <w:rPr>
          <w:rFonts w:cstheme="minorHAnsi"/>
          <w:szCs w:val="20"/>
        </w:rPr>
      </w:pPr>
    </w:p>
    <w:p w:rsidR="00C66A2E" w:rsidRPr="00946A9B" w:rsidRDefault="00C66A2E" w:rsidP="00C66A2E">
      <w:pPr>
        <w:spacing w:after="0" w:line="240" w:lineRule="auto"/>
        <w:jc w:val="both"/>
        <w:rPr>
          <w:rFonts w:cstheme="minorHAnsi"/>
          <w:i/>
          <w:szCs w:val="20"/>
        </w:rPr>
      </w:pPr>
      <w:r w:rsidRPr="00946A9B">
        <w:rPr>
          <w:rFonts w:cstheme="minorHAnsi"/>
          <w:i/>
          <w:szCs w:val="20"/>
        </w:rPr>
        <w:t xml:space="preserve">Dr Glenn Davies has been a secondary history teacher in Queensland schools since 1992. He is currently Head of Social Sciences &amp; Languages, </w:t>
      </w:r>
      <w:proofErr w:type="spellStart"/>
      <w:r w:rsidRPr="00946A9B">
        <w:rPr>
          <w:rFonts w:cstheme="minorHAnsi"/>
          <w:i/>
          <w:szCs w:val="20"/>
        </w:rPr>
        <w:t>Craigslea</w:t>
      </w:r>
      <w:proofErr w:type="spellEnd"/>
      <w:r w:rsidRPr="00946A9B">
        <w:rPr>
          <w:rFonts w:cstheme="minorHAnsi"/>
          <w:i/>
          <w:szCs w:val="20"/>
        </w:rPr>
        <w:t xml:space="preserve"> SHS and lectures in History and Politics Education at Australian Catholic University. He has been the QHTA State Executive </w:t>
      </w:r>
      <w:proofErr w:type="spellStart"/>
      <w:r w:rsidRPr="00946A9B">
        <w:rPr>
          <w:rFonts w:cstheme="minorHAnsi"/>
          <w:i/>
          <w:szCs w:val="20"/>
        </w:rPr>
        <w:t>ePublishing</w:t>
      </w:r>
      <w:proofErr w:type="spellEnd"/>
      <w:r w:rsidRPr="00946A9B">
        <w:rPr>
          <w:rFonts w:cstheme="minorHAnsi"/>
          <w:i/>
          <w:szCs w:val="20"/>
        </w:rPr>
        <w:t xml:space="preserve"> Manager since 2006, presented at QHTA and HTAA National Conferences, participated in various QCAA State committees, and written six secondary history textbooks.</w:t>
      </w:r>
    </w:p>
    <w:p w:rsidR="00A367FA" w:rsidRDefault="00A367FA" w:rsidP="00062EDA">
      <w:pPr>
        <w:spacing w:after="0" w:line="240" w:lineRule="auto"/>
        <w:rPr>
          <w:rFonts w:cstheme="minorHAnsi"/>
          <w:sz w:val="24"/>
          <w:szCs w:val="24"/>
        </w:rPr>
      </w:pPr>
    </w:p>
    <w:p w:rsidR="00397E11" w:rsidRPr="005A0293" w:rsidRDefault="00C02966" w:rsidP="00397E11">
      <w:pPr>
        <w:spacing w:after="0" w:line="240" w:lineRule="auto"/>
        <w:jc w:val="both"/>
        <w:rPr>
          <w:rFonts w:cstheme="minorHAnsi"/>
          <w:b/>
          <w:color w:val="0070C0"/>
          <w:sz w:val="24"/>
        </w:rPr>
      </w:pPr>
      <w:r>
        <w:rPr>
          <w:rFonts w:cstheme="minorHAnsi"/>
          <w:b/>
          <w:color w:val="0070C0"/>
          <w:sz w:val="24"/>
        </w:rPr>
        <w:t xml:space="preserve">Dr </w:t>
      </w:r>
      <w:r w:rsidR="00397E11" w:rsidRPr="005A0293">
        <w:rPr>
          <w:rFonts w:cstheme="minorHAnsi"/>
          <w:b/>
          <w:color w:val="0070C0"/>
          <w:sz w:val="24"/>
        </w:rPr>
        <w:t>Craig Johnston</w:t>
      </w:r>
      <w:r w:rsidR="00397E11">
        <w:rPr>
          <w:rFonts w:cstheme="minorHAnsi"/>
          <w:b/>
          <w:color w:val="0070C0"/>
          <w:sz w:val="24"/>
        </w:rPr>
        <w:t xml:space="preserve"> - Contested Places, C</w:t>
      </w:r>
      <w:r w:rsidR="00397E11" w:rsidRPr="005A0293">
        <w:rPr>
          <w:rFonts w:cstheme="minorHAnsi"/>
          <w:b/>
          <w:color w:val="0070C0"/>
          <w:sz w:val="24"/>
        </w:rPr>
        <w:t>ont</w:t>
      </w:r>
      <w:r w:rsidR="00397E11">
        <w:rPr>
          <w:rFonts w:cstheme="minorHAnsi"/>
          <w:b/>
          <w:color w:val="0070C0"/>
          <w:sz w:val="24"/>
        </w:rPr>
        <w:t>ested Spaces: using statues and monuments as sources to teach the c</w:t>
      </w:r>
      <w:r w:rsidR="00397E11" w:rsidRPr="005A0293">
        <w:rPr>
          <w:rFonts w:cstheme="minorHAnsi"/>
          <w:b/>
          <w:color w:val="0070C0"/>
          <w:sz w:val="24"/>
        </w:rPr>
        <w:t>omplexities of Public History</w:t>
      </w:r>
      <w:r w:rsidR="00397E11" w:rsidRPr="005A0293">
        <w:rPr>
          <w:rFonts w:cstheme="minorHAnsi"/>
          <w:b/>
          <w:color w:val="0070C0"/>
          <w:sz w:val="24"/>
        </w:rPr>
        <w:tab/>
      </w:r>
    </w:p>
    <w:p w:rsidR="00397E11" w:rsidRPr="00DF1EF7" w:rsidRDefault="00397E11" w:rsidP="00397E11">
      <w:pPr>
        <w:spacing w:after="0" w:line="240" w:lineRule="auto"/>
        <w:jc w:val="both"/>
        <w:rPr>
          <w:rFonts w:cstheme="minorHAnsi"/>
          <w:b/>
          <w:sz w:val="24"/>
        </w:rPr>
      </w:pPr>
    </w:p>
    <w:p w:rsidR="00397E11" w:rsidRPr="00946A9B" w:rsidRDefault="00397E11" w:rsidP="00397E11">
      <w:pPr>
        <w:pStyle w:val="Header"/>
        <w:jc w:val="both"/>
        <w:rPr>
          <w:rFonts w:cstheme="minorHAnsi"/>
          <w:szCs w:val="20"/>
        </w:rPr>
      </w:pPr>
      <w:r w:rsidRPr="00946A9B">
        <w:rPr>
          <w:rFonts w:cstheme="minorHAnsi"/>
          <w:szCs w:val="20"/>
        </w:rPr>
        <w:t>Captain Cook is arguably one of the most celebrated commoners in the world, with over 50 monuments and memorials in Australia alone, and dozens more in New Zealand, Britain and North America. Most belong to the nineteenth century tradition of memorial</w:t>
      </w:r>
      <w:r>
        <w:rPr>
          <w:rFonts w:cstheme="minorHAnsi"/>
          <w:szCs w:val="20"/>
        </w:rPr>
        <w:t>s</w:t>
      </w:r>
      <w:r w:rsidRPr="00946A9B">
        <w:rPr>
          <w:rFonts w:cstheme="minorHAnsi"/>
          <w:szCs w:val="20"/>
        </w:rPr>
        <w:t xml:space="preserve"> to “great men”. Monuments of this type are increasingly contested for their silencing of indigenous voices and privileging of a particular history.</w:t>
      </w:r>
    </w:p>
    <w:p w:rsidR="00397E11" w:rsidRPr="00946A9B" w:rsidRDefault="00397E11" w:rsidP="00397E11">
      <w:pPr>
        <w:pStyle w:val="Header"/>
        <w:jc w:val="both"/>
        <w:rPr>
          <w:rFonts w:cstheme="minorHAnsi"/>
          <w:szCs w:val="20"/>
        </w:rPr>
      </w:pPr>
    </w:p>
    <w:p w:rsidR="00397E11" w:rsidRPr="00946A9B" w:rsidRDefault="00397E11" w:rsidP="00397E11">
      <w:pPr>
        <w:pStyle w:val="Header"/>
        <w:jc w:val="both"/>
        <w:rPr>
          <w:rFonts w:cstheme="minorHAnsi"/>
          <w:szCs w:val="20"/>
        </w:rPr>
      </w:pPr>
      <w:r w:rsidRPr="00946A9B">
        <w:rPr>
          <w:rFonts w:cstheme="minorHAnsi"/>
          <w:szCs w:val="20"/>
        </w:rPr>
        <w:t>However, this is not a new phenomenon. Recent vandalism of such monuments, and the late-twentieth/early-twenty-first century attempt to create a more inclusive public history, has its roots in monumental symbolism in the ancient world. Looking at the use of statues and monuments as expressions of public history, this paper delves into the historiography of the statue and the very nature of how history is manufactured, and asks where does public history go next?</w:t>
      </w:r>
      <w:r w:rsidRPr="00946A9B">
        <w:rPr>
          <w:rFonts w:cstheme="minorHAnsi"/>
          <w:i/>
          <w:szCs w:val="20"/>
        </w:rPr>
        <w:t xml:space="preserve"> </w:t>
      </w:r>
    </w:p>
    <w:p w:rsidR="00397E11" w:rsidRPr="00946A9B" w:rsidRDefault="00397E11" w:rsidP="00397E11">
      <w:pPr>
        <w:spacing w:after="0" w:line="240" w:lineRule="auto"/>
        <w:jc w:val="both"/>
        <w:rPr>
          <w:rFonts w:cstheme="minorHAnsi"/>
          <w:i/>
          <w:szCs w:val="20"/>
        </w:rPr>
      </w:pPr>
    </w:p>
    <w:p w:rsidR="00397E11" w:rsidRPr="00946A9B" w:rsidRDefault="00397E11" w:rsidP="00397E11">
      <w:pPr>
        <w:spacing w:after="0" w:line="240" w:lineRule="auto"/>
        <w:jc w:val="both"/>
        <w:rPr>
          <w:rFonts w:cstheme="minorHAnsi"/>
          <w:i/>
          <w:szCs w:val="20"/>
        </w:rPr>
      </w:pPr>
      <w:r w:rsidRPr="00946A9B">
        <w:rPr>
          <w:rFonts w:cstheme="minorHAnsi"/>
          <w:i/>
          <w:szCs w:val="20"/>
        </w:rPr>
        <w:t xml:space="preserve">Dr Craig Johnston completed his PhD in History at the University of Edinburgh, a city abounding with statues. It is to this that he credits his interest in understanding monuments as sources to understand public history. He teaches senior Ancient and Modern History at </w:t>
      </w:r>
      <w:proofErr w:type="spellStart"/>
      <w:r w:rsidRPr="00946A9B">
        <w:rPr>
          <w:rFonts w:cstheme="minorHAnsi"/>
          <w:i/>
          <w:szCs w:val="20"/>
        </w:rPr>
        <w:t>Clayfield</w:t>
      </w:r>
      <w:proofErr w:type="spellEnd"/>
      <w:r w:rsidRPr="00946A9B">
        <w:rPr>
          <w:rFonts w:cstheme="minorHAnsi"/>
          <w:i/>
          <w:szCs w:val="20"/>
        </w:rPr>
        <w:t xml:space="preserve"> College, which has two statues in its grounds.</w:t>
      </w:r>
    </w:p>
    <w:p w:rsidR="00397E11" w:rsidRPr="00DF1EF7" w:rsidRDefault="00397E11" w:rsidP="00397E11">
      <w:pPr>
        <w:spacing w:after="0" w:line="240" w:lineRule="auto"/>
        <w:jc w:val="both"/>
        <w:rPr>
          <w:rFonts w:cstheme="minorHAnsi"/>
          <w:i/>
          <w:sz w:val="20"/>
          <w:szCs w:val="20"/>
        </w:rPr>
      </w:pPr>
    </w:p>
    <w:p w:rsidR="00397E11" w:rsidRPr="00062EDA" w:rsidRDefault="00397E11" w:rsidP="00062EDA">
      <w:pPr>
        <w:spacing w:after="0" w:line="240" w:lineRule="auto"/>
        <w:rPr>
          <w:rFonts w:cstheme="minorHAnsi"/>
          <w:sz w:val="24"/>
          <w:szCs w:val="24"/>
        </w:rPr>
      </w:pPr>
    </w:p>
    <w:sectPr w:rsidR="00397E11" w:rsidRPr="00062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271FA"/>
    <w:multiLevelType w:val="hybridMultilevel"/>
    <w:tmpl w:val="194CCD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6370ABA"/>
    <w:multiLevelType w:val="hybridMultilevel"/>
    <w:tmpl w:val="55CE17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6B5E5B"/>
    <w:multiLevelType w:val="hybridMultilevel"/>
    <w:tmpl w:val="5EA205B0"/>
    <w:lvl w:ilvl="0" w:tplc="CD8A9FB4">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57"/>
    <w:rsid w:val="000440C0"/>
    <w:rsid w:val="00062EDA"/>
    <w:rsid w:val="000E667D"/>
    <w:rsid w:val="000F0602"/>
    <w:rsid w:val="000F25E5"/>
    <w:rsid w:val="00106679"/>
    <w:rsid w:val="001860A5"/>
    <w:rsid w:val="001B7092"/>
    <w:rsid w:val="00200D91"/>
    <w:rsid w:val="00217E50"/>
    <w:rsid w:val="00236674"/>
    <w:rsid w:val="00256F2E"/>
    <w:rsid w:val="002D1E73"/>
    <w:rsid w:val="002E4E23"/>
    <w:rsid w:val="002F4B57"/>
    <w:rsid w:val="003460EE"/>
    <w:rsid w:val="00377869"/>
    <w:rsid w:val="00397E11"/>
    <w:rsid w:val="003F378D"/>
    <w:rsid w:val="00463804"/>
    <w:rsid w:val="00496D21"/>
    <w:rsid w:val="004B2DA4"/>
    <w:rsid w:val="00552F2D"/>
    <w:rsid w:val="005F59CF"/>
    <w:rsid w:val="0060396B"/>
    <w:rsid w:val="006400F3"/>
    <w:rsid w:val="00642B55"/>
    <w:rsid w:val="00687C5C"/>
    <w:rsid w:val="006A0ABA"/>
    <w:rsid w:val="006B2047"/>
    <w:rsid w:val="006C1DEA"/>
    <w:rsid w:val="00705970"/>
    <w:rsid w:val="007543BF"/>
    <w:rsid w:val="00797764"/>
    <w:rsid w:val="007E07A8"/>
    <w:rsid w:val="00832AD5"/>
    <w:rsid w:val="00882DFD"/>
    <w:rsid w:val="00892195"/>
    <w:rsid w:val="008C6A1B"/>
    <w:rsid w:val="008D3E50"/>
    <w:rsid w:val="00993AAE"/>
    <w:rsid w:val="009A5229"/>
    <w:rsid w:val="00A13C43"/>
    <w:rsid w:val="00A367FA"/>
    <w:rsid w:val="00A8536B"/>
    <w:rsid w:val="00AB2F36"/>
    <w:rsid w:val="00AE1600"/>
    <w:rsid w:val="00B37E65"/>
    <w:rsid w:val="00B670AD"/>
    <w:rsid w:val="00BA281C"/>
    <w:rsid w:val="00BA57D9"/>
    <w:rsid w:val="00BF5795"/>
    <w:rsid w:val="00C02966"/>
    <w:rsid w:val="00C02C18"/>
    <w:rsid w:val="00C47721"/>
    <w:rsid w:val="00C66A2E"/>
    <w:rsid w:val="00C71F00"/>
    <w:rsid w:val="00CB5428"/>
    <w:rsid w:val="00CF3606"/>
    <w:rsid w:val="00CF5F49"/>
    <w:rsid w:val="00D862B5"/>
    <w:rsid w:val="00DE0890"/>
    <w:rsid w:val="00E118AE"/>
    <w:rsid w:val="00E33663"/>
    <w:rsid w:val="00EE160E"/>
    <w:rsid w:val="00FA2E7F"/>
    <w:rsid w:val="00FE12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C479E-B247-8740-B856-FA22275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36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2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CF5F49"/>
    <w:rPr>
      <w:color w:val="0000FF"/>
      <w:u w:val="single"/>
    </w:rPr>
  </w:style>
  <w:style w:type="paragraph" w:styleId="Header">
    <w:name w:val="header"/>
    <w:basedOn w:val="Normal"/>
    <w:link w:val="HeaderChar"/>
    <w:uiPriority w:val="99"/>
    <w:unhideWhenUsed/>
    <w:rsid w:val="00C66A2E"/>
    <w:pPr>
      <w:tabs>
        <w:tab w:val="center" w:pos="4513"/>
        <w:tab w:val="right" w:pos="9026"/>
      </w:tabs>
      <w:spacing w:after="0" w:line="240" w:lineRule="auto"/>
    </w:pPr>
    <w:rPr>
      <w:lang w:val="en-AU"/>
    </w:rPr>
  </w:style>
  <w:style w:type="character" w:customStyle="1" w:styleId="HeaderChar">
    <w:name w:val="Header Char"/>
    <w:basedOn w:val="DefaultParagraphFont"/>
    <w:link w:val="Header"/>
    <w:uiPriority w:val="99"/>
    <w:rsid w:val="00C66A2E"/>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3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qhta.com.au/professional-development-workshops_202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Macdonald</dc:creator>
  <cp:keywords/>
  <dc:description/>
  <cp:lastModifiedBy>DAVIES, Glenn (gdavi50)</cp:lastModifiedBy>
  <cp:revision>2</cp:revision>
  <dcterms:created xsi:type="dcterms:W3CDTF">2020-07-31T07:10:00Z</dcterms:created>
  <dcterms:modified xsi:type="dcterms:W3CDTF">2020-07-31T07:10:00Z</dcterms:modified>
</cp:coreProperties>
</file>